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3361" w:dyaOrig="1477">
          <v:rect xmlns:o="urn:schemas-microsoft-com:office:office" xmlns:v="urn:schemas-microsoft-com:vml" id="rectole0000000000" style="width:168.050000pt;height:7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Informacja prasowa - listopad 2022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Blachodachówka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jak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ą wybrać? Podpowiadamy!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Pokrycie dachu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ńczy ważny etap budowy domu. To, co finalnie znajdzie się na połaci dachowej, będzie miało wpływ na bezpieczeństwo i komfort życia przyszłych mieszkańc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inwestycji.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wykorzystywane w tym celu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żnią się ze względu na parametry techniczne, trwałość czy cenę. Dziś pod lupę bierzemy blachodach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i doradzamy, jak wybrać tę właściwą.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Pokrycie dachowe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 rolę zewnętrznej bariery chroniącej budynek przed działaniem czynnik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atmosferycznych, takich jak deszcz,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śnieg, wilgoć, słońce czy wiatr. Inwestorzy mogą dziś wybierać spośr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kilku rodzajów poszy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ma swoją specyfikę, wady i zalety. Do tych najczęściej wybieranych z całą pewnością zaliczyć należy blachodach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ówki, które kusz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atrakcyjną ceną, niewielką wagą oraz bardzo prostym sposobem montażu.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Blacha dachowa to bez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ątpienia jeden z najtańszych surowc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tworzenia pokry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Wielu do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świadczonych fachowc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zgodnie powtarza,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że na pewnych materiałach budowlanych nie należy oszczędzać. Pokrycie dachowe to bez wątpienia jeden z nich. Warto więc stawiać na produkty pochodzące z ofert sprawdzonych, renomowanych producent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ów. Szukaj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ąc oszczędności, możemy narazić się bowiem na zakup blachodach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ówki o mniejszej odporno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ści na korozję i odbarwienia, a tym samym wysokie koszty prac remontowych w przyszłości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radzi Krzysztof Piwowar, przedstawiciel 4D Grupa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Sieci Zintegrowanych Hurtowni Dachowych.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Parametry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aspekty techniczne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brać pod uwagę dokonując zakupu blachodach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 hurtowni pytajmy m.in. o grubo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ść rdzenia znajdującego się pod warstwą ochronną i wykończeniową. Będzie to miało zasadniczy wpływ zar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ówno na szczelno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ść, jak i trwałość pokrycia. Zgodnie z obowiązującymi normami grubość rdzenia powinna wynosić nie mniej niż 0,5 mm. Nie bez znaczenia jest także rodzaj powłoki pokrywającej blachodach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ę. Te wykonane ze stopu cynku i magnezu cechują się zwiększoną odpornością na ścieranie, korozję czy zabrudzenia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przekonuje XYZ.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Estetyka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Nowoczesne metody produkcji i stale udoskonalane procesy pozwalaj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 tworzenie blachodach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ówek o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żnorodnych wzorach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prostych i bardziej finezyjnych oraz tych w bogatej ofercie kolorystycznej. 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ęki temu każdy inwestor może wybrać takie,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pasowa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będą do jego domu. Wybierając pokrycie dachowe, należy brać pod uwagę wygląd elewacji, styl domu czy charakter jego otoczenia. Architekci sugerują dwie drogi: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ójno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wszystkich element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takich jak dach, stolarka otworowa oraz fasada lub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kontrastowo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polegająca na łączeniu jasnego tynku z ciemnym poszyciem.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Gwarancja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Aspektem niew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ątpliwie ważnym z punktu widzenia inwestora, związanym z wyborem blachodach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okres gwarancyjny, jakim zostanie objęty materiał. Z reguły waha się on w przedziale 10-15 lat, choć na rynku są też producenci,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oferuj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gwarancję na swoje produkty sięgającą nawet 50 lat.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 4D Grupa: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DACH jest kluczow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ęcej informacji znajdziesz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Kontakt prasowy: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Artur Klich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e-mail: artur.klich@touchpr.pl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tel.: +48 509 429 004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4dgrupa.pl/" Id="docRId2" Type="http://schemas.openxmlformats.org/officeDocument/2006/relationships/hyperlink" /><Relationship Target="styles.xml" Id="docRId4" Type="http://schemas.openxmlformats.org/officeDocument/2006/relationships/styles" /></Relationships>
</file>